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8F575B" w14:textId="77777777" w:rsidR="00877DEC" w:rsidRPr="00474206" w:rsidRDefault="00000000" w:rsidP="00AB26AA">
      <w:pPr>
        <w:spacing w:after="300"/>
        <w:rPr>
          <w:b/>
          <w:color w:val="374151"/>
          <w:sz w:val="24"/>
          <w:szCs w:val="24"/>
        </w:rPr>
      </w:pPr>
      <w:r w:rsidRPr="00474206">
        <w:rPr>
          <w:rFonts w:ascii="Arial Unicode MS" w:eastAsia="Arial Unicode MS" w:hAnsi="Arial Unicode MS" w:cs="Arial Unicode MS"/>
          <w:b/>
          <w:color w:val="374151"/>
          <w:sz w:val="24"/>
          <w:szCs w:val="24"/>
        </w:rPr>
        <w:t>エグゼクティブサマリー</w:t>
      </w:r>
    </w:p>
    <w:p w14:paraId="4116F774" w14:textId="77777777" w:rsidR="00877DEC" w:rsidRPr="00AB26AA" w:rsidRDefault="00000000" w:rsidP="00AB26AA">
      <w:pPr>
        <w:spacing w:before="300" w:after="300"/>
        <w:rPr>
          <w:color w:val="374151"/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製品またはサービスの概要</w:t>
      </w:r>
    </w:p>
    <w:p w14:paraId="291FFC3A" w14:textId="77777777" w:rsidR="00877DEC" w:rsidRPr="00AB26AA" w:rsidRDefault="00000000" w:rsidP="00AB26AA">
      <w:pPr>
        <w:spacing w:before="300" w:after="300"/>
        <w:rPr>
          <w:rFonts w:hint="eastAsia"/>
          <w:color w:val="374151"/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"私たちのホームオートメーションソリューション、名付けて「HomeUnity」は、家庭内の全てのデバイスを一元化して連携し、遠隔操作できるように設計されています。この製品は、一つのユーザーインターフェースで全てを管理でき、使いやすさと便利さを提供します。HomeUnityは以下の特徴を持っています</w:t>
      </w:r>
    </w:p>
    <w:p w14:paraId="4B1C03CD" w14:textId="77777777" w:rsidR="00877DEC" w:rsidRPr="00AB26AA" w:rsidRDefault="00000000" w:rsidP="00AB26AA">
      <w:pPr>
        <w:numPr>
          <w:ilvl w:val="0"/>
          <w:numId w:val="1"/>
        </w:numPr>
        <w:spacing w:before="300"/>
        <w:rPr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デバイスの互換性： HomeUnityは、主要な家庭用電化製品、セキュリティシステム、照明システムなど、広範囲のデバイスと互換性があります。</w:t>
      </w:r>
    </w:p>
    <w:p w14:paraId="0CCABB4C" w14:textId="77777777" w:rsidR="00877DEC" w:rsidRPr="00AB26AA" w:rsidRDefault="00000000" w:rsidP="00AB26AA">
      <w:pPr>
        <w:numPr>
          <w:ilvl w:val="0"/>
          <w:numId w:val="1"/>
        </w:numPr>
        <w:rPr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ユーザーフレンドリー： HomeUnityのインターフェースは直感的で、ユーザーは簡単にデバイスを操作することができます。</w:t>
      </w:r>
    </w:p>
    <w:p w14:paraId="588014B2" w14:textId="77777777" w:rsidR="00877DEC" w:rsidRPr="00AB26AA" w:rsidRDefault="00000000" w:rsidP="00AB26AA">
      <w:pPr>
        <w:numPr>
          <w:ilvl w:val="0"/>
          <w:numId w:val="1"/>
        </w:numPr>
        <w:rPr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遠隔操作： Wi-Fi接続を通じて、ユーザーはどこからでも自宅のデバイスを操作することができます。</w:t>
      </w:r>
    </w:p>
    <w:p w14:paraId="44A6D272" w14:textId="77777777" w:rsidR="00877DEC" w:rsidRPr="00AB26AA" w:rsidRDefault="00000000" w:rsidP="00AB26AA">
      <w:pPr>
        <w:numPr>
          <w:ilvl w:val="0"/>
          <w:numId w:val="1"/>
        </w:numPr>
        <w:spacing w:after="300"/>
        <w:rPr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エネルギー効率： ユーザーは電気使用量を追跡し、必要に応じて設定を調整することでエネルギーコストを節約できます。</w:t>
      </w:r>
    </w:p>
    <w:p w14:paraId="4EE43AD3" w14:textId="77777777" w:rsidR="00877DEC" w:rsidRPr="00AB26AA" w:rsidRDefault="00000000" w:rsidP="00AB26AA">
      <w:pPr>
        <w:spacing w:before="300" w:after="300"/>
        <w:rPr>
          <w:color w:val="374151"/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B. 財務概要</w:t>
      </w:r>
    </w:p>
    <w:p w14:paraId="24B1A192" w14:textId="77777777" w:rsidR="00877DEC" w:rsidRPr="00AB26AA" w:rsidRDefault="00000000" w:rsidP="00AB26AA">
      <w:pPr>
        <w:spacing w:before="300" w:after="300"/>
        <w:rPr>
          <w:color w:val="374151"/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初年度の収益は5億円を見込んでおり、営業利益は1億円を見込んでいます。以下に各四半期の予測を示す表を作成しました：</w:t>
      </w:r>
    </w:p>
    <w:tbl>
      <w:tblPr>
        <w:tblStyle w:val="a5"/>
        <w:tblW w:w="9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07"/>
        <w:gridCol w:w="1088"/>
        <w:gridCol w:w="1175"/>
        <w:gridCol w:w="1188"/>
        <w:gridCol w:w="1188"/>
        <w:gridCol w:w="2118"/>
      </w:tblGrid>
      <w:tr w:rsidR="00AB26AA" w:rsidRPr="00AB26AA" w14:paraId="62197821" w14:textId="77777777" w:rsidTr="00AB26AA">
        <w:trPr>
          <w:trHeight w:val="278"/>
        </w:trPr>
        <w:tc>
          <w:tcPr>
            <w:tcW w:w="2307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902D9D" w14:textId="77777777" w:rsidR="00877DEC" w:rsidRPr="00AB26AA" w:rsidRDefault="00877DEC" w:rsidP="00AB26AA">
            <w:pPr>
              <w:spacing w:before="380" w:after="380" w:line="411" w:lineRule="auto"/>
              <w:jc w:val="center"/>
              <w:rPr>
                <w:color w:val="374151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32B621" w14:textId="77777777" w:rsidR="00877DEC" w:rsidRPr="00AB26AA" w:rsidRDefault="00000000" w:rsidP="00AB26AA">
            <w:pPr>
              <w:spacing w:before="380" w:after="380" w:line="411" w:lineRule="auto"/>
              <w:jc w:val="center"/>
              <w:rPr>
                <w:color w:val="374151"/>
                <w:sz w:val="16"/>
                <w:szCs w:val="16"/>
              </w:rPr>
            </w:pPr>
            <w:r w:rsidRPr="00AB26AA">
              <w:rPr>
                <w:b/>
                <w:color w:val="374151"/>
                <w:sz w:val="16"/>
                <w:szCs w:val="16"/>
              </w:rPr>
              <w:t>Q1</w:t>
            </w:r>
          </w:p>
        </w:tc>
        <w:tc>
          <w:tcPr>
            <w:tcW w:w="117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81DE83" w14:textId="77777777" w:rsidR="00877DEC" w:rsidRPr="00AB26AA" w:rsidRDefault="00000000" w:rsidP="00AB26AA">
            <w:pPr>
              <w:spacing w:before="380" w:after="380" w:line="411" w:lineRule="auto"/>
              <w:jc w:val="center"/>
              <w:rPr>
                <w:color w:val="374151"/>
                <w:sz w:val="16"/>
                <w:szCs w:val="16"/>
              </w:rPr>
            </w:pPr>
            <w:r w:rsidRPr="00AB26AA">
              <w:rPr>
                <w:b/>
                <w:color w:val="374151"/>
                <w:sz w:val="16"/>
                <w:szCs w:val="16"/>
              </w:rPr>
              <w:t>Q2</w:t>
            </w:r>
          </w:p>
        </w:tc>
        <w:tc>
          <w:tcPr>
            <w:tcW w:w="118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422F37" w14:textId="77777777" w:rsidR="00877DEC" w:rsidRPr="00AB26AA" w:rsidRDefault="00000000" w:rsidP="00AB26AA">
            <w:pPr>
              <w:spacing w:before="380" w:after="380" w:line="411" w:lineRule="auto"/>
              <w:jc w:val="center"/>
              <w:rPr>
                <w:color w:val="374151"/>
                <w:sz w:val="16"/>
                <w:szCs w:val="16"/>
              </w:rPr>
            </w:pPr>
            <w:r w:rsidRPr="00AB26AA">
              <w:rPr>
                <w:b/>
                <w:color w:val="374151"/>
                <w:sz w:val="16"/>
                <w:szCs w:val="16"/>
              </w:rPr>
              <w:t>Q3</w:t>
            </w:r>
          </w:p>
        </w:tc>
        <w:tc>
          <w:tcPr>
            <w:tcW w:w="118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1A32D6" w14:textId="77777777" w:rsidR="00877DEC" w:rsidRPr="00AB26AA" w:rsidRDefault="00000000" w:rsidP="00AB26AA">
            <w:pPr>
              <w:spacing w:before="380" w:after="380" w:line="411" w:lineRule="auto"/>
              <w:jc w:val="center"/>
              <w:rPr>
                <w:color w:val="374151"/>
                <w:sz w:val="16"/>
                <w:szCs w:val="16"/>
              </w:rPr>
            </w:pPr>
            <w:r w:rsidRPr="00AB26AA">
              <w:rPr>
                <w:b/>
                <w:color w:val="374151"/>
                <w:sz w:val="16"/>
                <w:szCs w:val="16"/>
              </w:rPr>
              <w:t>Q4</w:t>
            </w:r>
          </w:p>
        </w:tc>
        <w:tc>
          <w:tcPr>
            <w:tcW w:w="211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1D1E1F" w14:textId="77777777" w:rsidR="00877DEC" w:rsidRPr="00AB26AA" w:rsidRDefault="00000000" w:rsidP="00AB26AA">
            <w:pPr>
              <w:spacing w:before="380" w:after="380" w:line="411" w:lineRule="auto"/>
              <w:jc w:val="center"/>
              <w:rPr>
                <w:color w:val="374151"/>
                <w:sz w:val="16"/>
                <w:szCs w:val="16"/>
              </w:rPr>
            </w:pPr>
            <w:r w:rsidRPr="00AB26AA">
              <w:rPr>
                <w:rFonts w:ascii="Arial Unicode MS" w:eastAsia="Arial Unicode MS" w:hAnsi="Arial Unicode MS" w:cs="Arial Unicode MS"/>
                <w:b/>
                <w:color w:val="374151"/>
                <w:sz w:val="16"/>
                <w:szCs w:val="16"/>
              </w:rPr>
              <w:t>合計</w:t>
            </w:r>
          </w:p>
        </w:tc>
      </w:tr>
      <w:tr w:rsidR="00AB26AA" w:rsidRPr="00AB26AA" w14:paraId="6B27215D" w14:textId="77777777" w:rsidTr="00AB26AA">
        <w:trPr>
          <w:trHeight w:val="272"/>
        </w:trPr>
        <w:tc>
          <w:tcPr>
            <w:tcW w:w="2307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28759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rFonts w:ascii="Arial Unicode MS" w:eastAsia="Arial Unicode MS" w:hAnsi="Arial Unicode MS" w:cs="Arial Unicode MS"/>
                <w:color w:val="374151"/>
                <w:sz w:val="16"/>
                <w:szCs w:val="16"/>
              </w:rPr>
              <w:t>売上げ（万円）</w:t>
            </w:r>
          </w:p>
        </w:tc>
        <w:tc>
          <w:tcPr>
            <w:tcW w:w="10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F1062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8000</w:t>
            </w:r>
          </w:p>
        </w:tc>
        <w:tc>
          <w:tcPr>
            <w:tcW w:w="1175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48280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12000</w:t>
            </w:r>
          </w:p>
        </w:tc>
        <w:tc>
          <w:tcPr>
            <w:tcW w:w="11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F4EEE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14000</w:t>
            </w:r>
          </w:p>
        </w:tc>
        <w:tc>
          <w:tcPr>
            <w:tcW w:w="11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3BF8E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16000</w:t>
            </w:r>
          </w:p>
        </w:tc>
        <w:tc>
          <w:tcPr>
            <w:tcW w:w="2118" w:type="dxa"/>
            <w:tcBorders>
              <w:top w:val="nil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85BD0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50000</w:t>
            </w:r>
          </w:p>
        </w:tc>
      </w:tr>
      <w:tr w:rsidR="00AB26AA" w:rsidRPr="00AB26AA" w14:paraId="00586955" w14:textId="77777777" w:rsidTr="00AB26AA">
        <w:trPr>
          <w:trHeight w:val="272"/>
        </w:trPr>
        <w:tc>
          <w:tcPr>
            <w:tcW w:w="2307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7E5CB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rFonts w:ascii="Arial Unicode MS" w:eastAsia="Arial Unicode MS" w:hAnsi="Arial Unicode MS" w:cs="Arial Unicode MS"/>
                <w:color w:val="374151"/>
                <w:sz w:val="16"/>
                <w:szCs w:val="16"/>
              </w:rPr>
              <w:t>営業費用（万円）</w:t>
            </w:r>
          </w:p>
        </w:tc>
        <w:tc>
          <w:tcPr>
            <w:tcW w:w="10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78413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3500</w:t>
            </w:r>
          </w:p>
        </w:tc>
        <w:tc>
          <w:tcPr>
            <w:tcW w:w="1175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292E4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3500</w:t>
            </w:r>
          </w:p>
        </w:tc>
        <w:tc>
          <w:tcPr>
            <w:tcW w:w="11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9DAF8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4000</w:t>
            </w:r>
          </w:p>
        </w:tc>
        <w:tc>
          <w:tcPr>
            <w:tcW w:w="11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22108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4000</w:t>
            </w:r>
          </w:p>
        </w:tc>
        <w:tc>
          <w:tcPr>
            <w:tcW w:w="2118" w:type="dxa"/>
            <w:tcBorders>
              <w:top w:val="nil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9FE94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15000</w:t>
            </w:r>
          </w:p>
        </w:tc>
      </w:tr>
      <w:tr w:rsidR="00AB26AA" w:rsidRPr="00AB26AA" w14:paraId="36EAD498" w14:textId="77777777" w:rsidTr="00AB26AA">
        <w:trPr>
          <w:trHeight w:val="272"/>
        </w:trPr>
        <w:tc>
          <w:tcPr>
            <w:tcW w:w="2307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D9521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rFonts w:ascii="Arial Unicode MS" w:eastAsia="Arial Unicode MS" w:hAnsi="Arial Unicode MS" w:cs="Arial Unicode MS"/>
                <w:color w:val="374151"/>
                <w:sz w:val="16"/>
                <w:szCs w:val="16"/>
              </w:rPr>
              <w:t>営業利益（万円）</w:t>
            </w:r>
          </w:p>
        </w:tc>
        <w:tc>
          <w:tcPr>
            <w:tcW w:w="10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EF61F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4500</w:t>
            </w:r>
          </w:p>
        </w:tc>
        <w:tc>
          <w:tcPr>
            <w:tcW w:w="1175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4D109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8500</w:t>
            </w:r>
          </w:p>
        </w:tc>
        <w:tc>
          <w:tcPr>
            <w:tcW w:w="11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434F1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10000</w:t>
            </w:r>
          </w:p>
        </w:tc>
        <w:tc>
          <w:tcPr>
            <w:tcW w:w="1188" w:type="dxa"/>
            <w:tcBorders>
              <w:top w:val="nil"/>
              <w:left w:val="single" w:sz="6" w:space="0" w:color="D9D9E3"/>
              <w:bottom w:val="single" w:sz="6" w:space="0" w:color="D9D9E3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FBFE3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12000</w:t>
            </w:r>
          </w:p>
        </w:tc>
        <w:tc>
          <w:tcPr>
            <w:tcW w:w="2118" w:type="dxa"/>
            <w:tcBorders>
              <w:top w:val="nil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16C77" w14:textId="77777777" w:rsidR="00877DEC" w:rsidRPr="00AB26AA" w:rsidRDefault="00000000" w:rsidP="00AB26AA">
            <w:pPr>
              <w:spacing w:before="380" w:after="380" w:line="411" w:lineRule="auto"/>
              <w:rPr>
                <w:color w:val="374151"/>
                <w:sz w:val="16"/>
                <w:szCs w:val="16"/>
              </w:rPr>
            </w:pPr>
            <w:r w:rsidRPr="00AB26AA">
              <w:rPr>
                <w:color w:val="374151"/>
                <w:sz w:val="16"/>
                <w:szCs w:val="16"/>
              </w:rPr>
              <w:t>35000</w:t>
            </w:r>
          </w:p>
        </w:tc>
      </w:tr>
    </w:tbl>
    <w:p w14:paraId="69EA8A02" w14:textId="77777777" w:rsidR="00877DEC" w:rsidRPr="00AB26AA" w:rsidRDefault="00000000" w:rsidP="00AB26AA">
      <w:pPr>
        <w:spacing w:before="300"/>
        <w:rPr>
          <w:color w:val="374151"/>
          <w:sz w:val="16"/>
          <w:szCs w:val="16"/>
        </w:rPr>
      </w:pPr>
      <w:r w:rsidRPr="00AB26AA">
        <w:rPr>
          <w:rFonts w:ascii="Arial Unicode MS" w:eastAsia="Arial Unicode MS" w:hAnsi="Arial Unicode MS" w:cs="Arial Unicode MS"/>
          <w:color w:val="374151"/>
          <w:sz w:val="16"/>
          <w:szCs w:val="16"/>
        </w:rPr>
        <w:t>初年度の予想収益は、製品のマーケットへの導入と認知度の増加を反映したものです。具体的な数値は、製品の価格設定、販売目標、及び運営コストに基づいています。</w:t>
      </w:r>
    </w:p>
    <w:p w14:paraId="65BD50CE" w14:textId="77777777" w:rsidR="00877DEC" w:rsidRPr="00AB26AA" w:rsidRDefault="00877DEC" w:rsidP="00AB26AA">
      <w:pPr>
        <w:rPr>
          <w:color w:val="374151"/>
          <w:sz w:val="16"/>
          <w:szCs w:val="16"/>
        </w:rPr>
      </w:pPr>
    </w:p>
    <w:sectPr w:rsidR="00877DEC" w:rsidRPr="00AB2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5C0B" w14:textId="77777777" w:rsidR="002C21B1" w:rsidRDefault="002C21B1" w:rsidP="00AB26AA">
      <w:pPr>
        <w:spacing w:line="240" w:lineRule="auto"/>
      </w:pPr>
      <w:r>
        <w:separator/>
      </w:r>
    </w:p>
  </w:endnote>
  <w:endnote w:type="continuationSeparator" w:id="0">
    <w:p w14:paraId="750B4787" w14:textId="77777777" w:rsidR="002C21B1" w:rsidRDefault="002C21B1" w:rsidP="00AB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92B5" w14:textId="77777777" w:rsidR="00AB26AA" w:rsidRDefault="00AB26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97ED" w14:textId="77777777" w:rsidR="00AB26AA" w:rsidRDefault="00AB26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55D6" w14:textId="77777777" w:rsidR="00AB26AA" w:rsidRDefault="00AB26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BCAB" w14:textId="77777777" w:rsidR="002C21B1" w:rsidRDefault="002C21B1" w:rsidP="00AB26AA">
      <w:pPr>
        <w:spacing w:line="240" w:lineRule="auto"/>
      </w:pPr>
      <w:r>
        <w:separator/>
      </w:r>
    </w:p>
  </w:footnote>
  <w:footnote w:type="continuationSeparator" w:id="0">
    <w:p w14:paraId="596E9E5B" w14:textId="77777777" w:rsidR="002C21B1" w:rsidRDefault="002C21B1" w:rsidP="00AB2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4C75" w14:textId="77777777" w:rsidR="00AB26AA" w:rsidRDefault="00AB26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FA02" w14:textId="77777777" w:rsidR="00AB26AA" w:rsidRDefault="00AB26A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8CA1" w14:textId="77777777" w:rsidR="00AB26AA" w:rsidRDefault="00AB26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C3D18"/>
    <w:multiLevelType w:val="multilevel"/>
    <w:tmpl w:val="F95E45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212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EC"/>
    <w:rsid w:val="002C21B1"/>
    <w:rsid w:val="00474206"/>
    <w:rsid w:val="00507B34"/>
    <w:rsid w:val="00877DEC"/>
    <w:rsid w:val="00A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1A1B"/>
  <w15:docId w15:val="{641DD61B-9F74-564D-B0C5-0F82079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7F7F8"/>
    </w:tcPr>
  </w:style>
  <w:style w:type="paragraph" w:styleId="a6">
    <w:name w:val="header"/>
    <w:basedOn w:val="a"/>
    <w:link w:val="a7"/>
    <w:uiPriority w:val="99"/>
    <w:unhideWhenUsed/>
    <w:rsid w:val="00AB2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26AA"/>
  </w:style>
  <w:style w:type="paragraph" w:styleId="a8">
    <w:name w:val="footer"/>
    <w:basedOn w:val="a"/>
    <w:link w:val="a9"/>
    <w:uiPriority w:val="99"/>
    <w:unhideWhenUsed/>
    <w:rsid w:val="00AB26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8CAE78-C9DD-2E47-83DA-75602B10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3</cp:revision>
  <dcterms:created xsi:type="dcterms:W3CDTF">2023-07-17T17:09:00Z</dcterms:created>
  <dcterms:modified xsi:type="dcterms:W3CDTF">2023-07-17T17:13:00Z</dcterms:modified>
</cp:coreProperties>
</file>